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4E" w:rsidRDefault="0092674E" w:rsidP="0092674E">
      <w:pPr>
        <w:shd w:val="clear" w:color="auto" w:fill="FFFFFF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br/>
      </w:r>
      <w:r>
        <w:rPr>
          <w:rFonts w:ascii="Tahoma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2" name="Image 2" descr="N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Niger</w:t>
      </w:r>
    </w:p>
    <w:p w:rsidR="0092674E" w:rsidRDefault="0092674E" w:rsidP="0092674E">
      <w:pPr>
        <w:pStyle w:val="fz1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11E1F"/>
          <w:sz w:val="18"/>
          <w:szCs w:val="18"/>
        </w:rPr>
      </w:pPr>
      <w:r>
        <w:rPr>
          <w:rStyle w:val="cllggrey"/>
          <w:rFonts w:ascii="Tahoma" w:eastAsiaTheme="majorEastAsia" w:hAnsi="Tahoma" w:cs="Tahoma"/>
          <w:color w:val="929598"/>
          <w:sz w:val="18"/>
          <w:szCs w:val="18"/>
        </w:rPr>
        <w:t>Date d'entrée: </w:t>
      </w:r>
      <w:proofErr w:type="spellStart"/>
      <w:r>
        <w:rPr>
          <w:rFonts w:ascii="Tahoma" w:hAnsi="Tahoma" w:cs="Tahoma"/>
          <w:color w:val="211E1F"/>
          <w:sz w:val="18"/>
          <w:szCs w:val="18"/>
        </w:rPr>
        <w:t>September</w:t>
      </w:r>
      <w:proofErr w:type="spellEnd"/>
      <w:r>
        <w:rPr>
          <w:rFonts w:ascii="Tahoma" w:hAnsi="Tahoma" w:cs="Tahoma"/>
          <w:color w:val="211E1F"/>
          <w:sz w:val="18"/>
          <w:szCs w:val="18"/>
        </w:rPr>
        <w:t xml:space="preserve"> 15, 2006</w:t>
      </w:r>
    </w:p>
    <w:p w:rsidR="0092674E" w:rsidRDefault="0092674E" w:rsidP="0092674E">
      <w:pPr>
        <w:shd w:val="clear" w:color="auto" w:fill="FFFFFF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Membre de l'AICESIS</w:t>
      </w:r>
    </w:p>
    <w:p w:rsidR="0092674E" w:rsidRDefault="0092674E" w:rsidP="0092674E">
      <w:pPr>
        <w:shd w:val="clear" w:color="auto" w:fill="FFFFFF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Membre de l'ILO</w:t>
      </w:r>
    </w:p>
    <w:p w:rsidR="0092674E" w:rsidRDefault="0092674E" w:rsidP="0092674E">
      <w:pPr>
        <w:pStyle w:val="Titre2"/>
        <w:shd w:val="clear" w:color="auto" w:fill="FFFFFF"/>
        <w:spacing w:before="225" w:beforeAutospacing="0" w:after="225" w:afterAutospacing="0"/>
        <w:rPr>
          <w:rFonts w:ascii="Tahoma" w:hAnsi="Tahoma" w:cs="Tahoma"/>
          <w:color w:val="59595B"/>
          <w:sz w:val="30"/>
          <w:szCs w:val="30"/>
        </w:rPr>
      </w:pPr>
      <w:r>
        <w:rPr>
          <w:rFonts w:ascii="Tahoma" w:hAnsi="Tahoma" w:cs="Tahoma"/>
          <w:color w:val="59595B"/>
          <w:sz w:val="30"/>
          <w:szCs w:val="30"/>
        </w:rPr>
        <w:t>Conseil Économique, Social et Culturel (CESOC)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President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 :</w:t>
      </w:r>
      <w:r>
        <w:rPr>
          <w:rFonts w:ascii="Tahoma" w:hAnsi="Tahoma" w:cs="Tahoma"/>
          <w:color w:val="211E1F"/>
          <w:sz w:val="21"/>
          <w:szCs w:val="21"/>
        </w:rPr>
        <w:t xml:space="preserve"> Mr. Moussa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Moumouni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DJERMAKOYE</w:t>
      </w:r>
      <w:r>
        <w:rPr>
          <w:rFonts w:ascii="Tahoma" w:hAnsi="Tahoma" w:cs="Tahoma"/>
          <w:color w:val="211E1F"/>
          <w:sz w:val="21"/>
          <w:szCs w:val="21"/>
        </w:rPr>
        <w:br/>
      </w: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Secretary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>-General :</w:t>
      </w:r>
      <w:r>
        <w:rPr>
          <w:rFonts w:ascii="Tahoma" w:hAnsi="Tahoma" w:cs="Tahoma"/>
          <w:color w:val="211E1F"/>
          <w:sz w:val="21"/>
          <w:szCs w:val="21"/>
        </w:rPr>
        <w:t xml:space="preserve"> Mr.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Youssoufou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Ahmadou TIDJANI</w:t>
      </w:r>
    </w:p>
    <w:p w:rsidR="0092674E" w:rsidRDefault="0092674E" w:rsidP="0092674E">
      <w:pPr>
        <w:numPr>
          <w:ilvl w:val="0"/>
          <w:numId w:val="13"/>
        </w:numPr>
        <w:shd w:val="clear" w:color="auto" w:fill="FFFFFF"/>
        <w:spacing w:after="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r>
        <w:rPr>
          <w:rStyle w:val="lev"/>
          <w:rFonts w:ascii="Tahoma" w:hAnsi="Tahoma" w:cs="Tahoma"/>
          <w:color w:val="211E1F"/>
          <w:sz w:val="21"/>
          <w:szCs w:val="21"/>
        </w:rPr>
        <w:t>Establishment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Date of </w:t>
      </w: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creation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December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7 2011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Year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operational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 2012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Nature of the </w:t>
      </w: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texts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that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create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 the ESC (Constitution, </w:t>
      </w: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law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decree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>, etc.)</w:t>
      </w:r>
      <w:r>
        <w:rPr>
          <w:rFonts w:ascii="Tahoma" w:hAnsi="Tahoma" w:cs="Tahoma"/>
          <w:color w:val="211E1F"/>
          <w:sz w:val="21"/>
          <w:szCs w:val="21"/>
        </w:rPr>
        <w:t xml:space="preserve"> Law n° 040-2011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seen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by the Constitution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November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25 2010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adopted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by the National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Assembly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promulgated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by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President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Republic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.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92674E" w:rsidRDefault="0092674E" w:rsidP="0092674E">
      <w:pPr>
        <w:numPr>
          <w:ilvl w:val="0"/>
          <w:numId w:val="14"/>
        </w:numPr>
        <w:shd w:val="clear" w:color="auto" w:fill="FFFFFF"/>
        <w:spacing w:after="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r>
        <w:rPr>
          <w:rStyle w:val="lev"/>
          <w:rFonts w:ascii="Tahoma" w:hAnsi="Tahoma" w:cs="Tahoma"/>
          <w:color w:val="211E1F"/>
          <w:sz w:val="21"/>
          <w:szCs w:val="21"/>
        </w:rPr>
        <w:t>Composition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Number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 of </w:t>
      </w: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 of the ESC </w:t>
      </w:r>
      <w:r>
        <w:rPr>
          <w:rFonts w:ascii="Tahoma" w:hAnsi="Tahoma" w:cs="Tahoma"/>
          <w:color w:val="211E1F"/>
          <w:sz w:val="21"/>
          <w:szCs w:val="21"/>
        </w:rPr>
        <w:t xml:space="preserve">99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</w:p>
    <w:p w:rsidR="0092674E" w:rsidRDefault="0092674E" w:rsidP="0092674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Membership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 structure</w:t>
      </w:r>
    </w:p>
    <w:p w:rsidR="0092674E" w:rsidRDefault="0092674E" w:rsidP="0092674E">
      <w:pPr>
        <w:numPr>
          <w:ilvl w:val="0"/>
          <w:numId w:val="15"/>
        </w:numPr>
        <w:shd w:val="clear" w:color="auto" w:fill="FFFFFF"/>
        <w:spacing w:after="15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board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consists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99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:</w:t>
      </w:r>
    </w:p>
    <w:p w:rsidR="0092674E" w:rsidRDefault="0092674E" w:rsidP="0092674E">
      <w:pPr>
        <w:numPr>
          <w:ilvl w:val="0"/>
          <w:numId w:val="15"/>
        </w:numPr>
        <w:shd w:val="clear" w:color="auto" w:fill="FFFFFF"/>
        <w:spacing w:after="15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Eight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(08)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appointed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by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Decree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the Cabinet Office;</w:t>
      </w:r>
    </w:p>
    <w:p w:rsidR="0092674E" w:rsidRDefault="0092674E" w:rsidP="0092674E">
      <w:pPr>
        <w:numPr>
          <w:ilvl w:val="0"/>
          <w:numId w:val="15"/>
        </w:numPr>
        <w:shd w:val="clear" w:color="auto" w:fill="FFFFFF"/>
        <w:spacing w:after="15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Thirteen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(13)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are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appointed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according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to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following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scheme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:</w:t>
      </w:r>
    </w:p>
    <w:p w:rsidR="0092674E" w:rsidRDefault="0092674E" w:rsidP="0092674E">
      <w:pPr>
        <w:numPr>
          <w:ilvl w:val="0"/>
          <w:numId w:val="16"/>
        </w:numPr>
        <w:shd w:val="clear" w:color="auto" w:fill="FFFFFF"/>
        <w:spacing w:after="15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Seven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(07)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appointed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by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President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Republic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;</w:t>
      </w:r>
    </w:p>
    <w:p w:rsidR="0092674E" w:rsidRDefault="0092674E" w:rsidP="0092674E">
      <w:pPr>
        <w:numPr>
          <w:ilvl w:val="0"/>
          <w:numId w:val="16"/>
        </w:numPr>
        <w:shd w:val="clear" w:color="auto" w:fill="FFFFFF"/>
        <w:spacing w:after="15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Four (04)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appointed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by the Speaker of the National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Assembly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;</w:t>
      </w:r>
    </w:p>
    <w:p w:rsidR="0092674E" w:rsidRDefault="0092674E" w:rsidP="0092674E">
      <w:pPr>
        <w:numPr>
          <w:ilvl w:val="0"/>
          <w:numId w:val="16"/>
        </w:numPr>
        <w:shd w:val="clear" w:color="auto" w:fill="FFFFFF"/>
        <w:spacing w:after="15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Two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appointed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by the Prime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Minister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;</w:t>
      </w:r>
    </w:p>
    <w:p w:rsidR="0092674E" w:rsidRDefault="0092674E" w:rsidP="0092674E">
      <w:pPr>
        <w:numPr>
          <w:ilvl w:val="0"/>
          <w:numId w:val="17"/>
        </w:numPr>
        <w:shd w:val="clear" w:color="auto" w:fill="FFFFFF"/>
        <w:spacing w:after="15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Five (05)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representing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University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 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teachers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researchers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;</w:t>
      </w:r>
    </w:p>
    <w:p w:rsidR="0092674E" w:rsidRDefault="0092674E" w:rsidP="0092674E">
      <w:pPr>
        <w:numPr>
          <w:ilvl w:val="0"/>
          <w:numId w:val="17"/>
        </w:numPr>
        <w:shd w:val="clear" w:color="auto" w:fill="FFFFFF"/>
        <w:spacing w:after="15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Sixteen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(16)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representing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different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economic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groups (agriculture, commerce,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industry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, services);</w:t>
      </w:r>
    </w:p>
    <w:p w:rsidR="0092674E" w:rsidRDefault="0092674E" w:rsidP="0092674E">
      <w:pPr>
        <w:numPr>
          <w:ilvl w:val="0"/>
          <w:numId w:val="17"/>
        </w:numPr>
        <w:shd w:val="clear" w:color="auto" w:fill="FFFFFF"/>
        <w:spacing w:after="15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Seven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(07)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representatives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 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workers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students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trade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unions;</w:t>
      </w:r>
    </w:p>
    <w:p w:rsidR="0092674E" w:rsidRDefault="0092674E" w:rsidP="0092674E">
      <w:pPr>
        <w:numPr>
          <w:ilvl w:val="0"/>
          <w:numId w:val="17"/>
        </w:numPr>
        <w:shd w:val="clear" w:color="auto" w:fill="FFFFFF"/>
        <w:spacing w:after="15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Twenty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-one (21)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representing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associations (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traditional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chiefs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religious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cultural and sports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federations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women's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organizations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associations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environmental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protection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those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Nigerians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located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abroad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);</w:t>
      </w:r>
    </w:p>
    <w:p w:rsidR="0092674E" w:rsidRDefault="0092674E" w:rsidP="0092674E">
      <w:pPr>
        <w:numPr>
          <w:ilvl w:val="0"/>
          <w:numId w:val="17"/>
        </w:numPr>
        <w:shd w:val="clear" w:color="auto" w:fill="FFFFFF"/>
        <w:spacing w:after="15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Twenty-nine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(29)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representing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local,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regional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councils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cities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municipalities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associations.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ind w:left="72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lastRenderedPageBreak/>
        <w:t> 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ind w:left="720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are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appointed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for a five-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year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term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.</w:t>
      </w:r>
    </w:p>
    <w:p w:rsidR="0092674E" w:rsidRDefault="0092674E" w:rsidP="0092674E">
      <w:pPr>
        <w:numPr>
          <w:ilvl w:val="0"/>
          <w:numId w:val="18"/>
        </w:numPr>
        <w:shd w:val="clear" w:color="auto" w:fill="FFFFFF"/>
        <w:spacing w:after="15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Membership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is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incompatible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with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appointment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as a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the National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Assembly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as a Chairman and as a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any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public institution, as a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Government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as a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Governor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Region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as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Prefect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Department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as a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Defense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Forces and Securit, as  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prosecutors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 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serving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judges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in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their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original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entity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.</w:t>
      </w:r>
    </w:p>
    <w:p w:rsidR="0092674E" w:rsidRDefault="0092674E" w:rsidP="0092674E">
      <w:pPr>
        <w:numPr>
          <w:ilvl w:val="0"/>
          <w:numId w:val="18"/>
        </w:numPr>
        <w:shd w:val="clear" w:color="auto" w:fill="FFFFFF"/>
        <w:spacing w:after="15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President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other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officers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are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appointed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by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decree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the Council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Ministers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They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are not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bound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to one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term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.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92674E" w:rsidRDefault="0092674E" w:rsidP="0092674E">
      <w:pPr>
        <w:numPr>
          <w:ilvl w:val="0"/>
          <w:numId w:val="19"/>
        </w:numPr>
        <w:shd w:val="clear" w:color="auto" w:fill="FFFFFF"/>
        <w:spacing w:after="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r>
        <w:rPr>
          <w:rStyle w:val="lev"/>
          <w:rFonts w:ascii="Tahoma" w:hAnsi="Tahoma" w:cs="Tahoma"/>
          <w:color w:val="211E1F"/>
          <w:sz w:val="21"/>
          <w:szCs w:val="21"/>
        </w:rPr>
        <w:t>Mission and attributions</w:t>
      </w:r>
    </w:p>
    <w:p w:rsidR="0092674E" w:rsidRDefault="0092674E" w:rsidP="0092674E">
      <w:pPr>
        <w:numPr>
          <w:ilvl w:val="0"/>
          <w:numId w:val="19"/>
        </w:numPr>
        <w:shd w:val="clear" w:color="auto" w:fill="FFFFFF"/>
        <w:spacing w:after="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Administrative </w:t>
      </w: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organization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 of the ESC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President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other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the office have been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appointed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by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decree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taken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as a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council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Ministers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. The duration of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President’s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mandate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is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same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than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the mandature.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The office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consists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a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President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four (4)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Vice-President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three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(3) rapporteurs.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92674E" w:rsidRDefault="0092674E" w:rsidP="0092674E">
      <w:pPr>
        <w:numPr>
          <w:ilvl w:val="0"/>
          <w:numId w:val="20"/>
        </w:numPr>
        <w:shd w:val="clear" w:color="auto" w:fill="FFFFFF"/>
        <w:spacing w:after="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Functioning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 of the ESC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The Council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is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requested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to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deliver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views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opinions on bills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related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to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economic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social and cultural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field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.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It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may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be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called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by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President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Republic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/ or the National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Assembly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on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all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matters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involving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economic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, social and cultural life of the country.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Their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reviews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have to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be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submitted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within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15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days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from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their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signatures, to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President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Republic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to the National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Assembly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.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council's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budget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is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accounted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in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country’s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budget.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Council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which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are not office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receive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sessions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travel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allowances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.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Style w:val="lev"/>
          <w:rFonts w:ascii="Tahoma" w:hAnsi="Tahoma" w:cs="Tahoma"/>
          <w:color w:val="211E1F"/>
          <w:sz w:val="21"/>
          <w:szCs w:val="21"/>
          <w:u w:val="single"/>
        </w:rPr>
        <w:t>List of the Commissions: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for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Economic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Financial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Affairs</w:t>
      </w:r>
      <w:proofErr w:type="spellEnd"/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for Social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Affairs</w:t>
      </w:r>
      <w:proofErr w:type="spellEnd"/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for Rural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Development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Environment</w:t>
      </w:r>
      <w:proofErr w:type="spellEnd"/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for Cultural and Sportive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Affairs</w:t>
      </w:r>
      <w:proofErr w:type="spellEnd"/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According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to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circumstances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the Council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President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can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create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ad hoc Commissions.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Each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Commission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is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headed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by a cabinet of four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members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consisting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</w:t>
      </w:r>
      <w:proofErr w:type="gramStart"/>
      <w:r>
        <w:rPr>
          <w:rFonts w:ascii="Tahoma" w:hAnsi="Tahoma" w:cs="Tahoma"/>
          <w:color w:val="211E1F"/>
          <w:sz w:val="21"/>
          <w:szCs w:val="21"/>
        </w:rPr>
        <w:t>a</w:t>
      </w:r>
      <w:proofErr w:type="gram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President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a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Vice-President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two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Rapporteurs.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Depending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on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circumstances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ad hoc Commissions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may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be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established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by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President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Board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.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lastRenderedPageBreak/>
        <w:t> 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Style w:val="lev"/>
          <w:rFonts w:ascii="Tahoma" w:hAnsi="Tahoma" w:cs="Tahoma"/>
          <w:color w:val="211E1F"/>
          <w:sz w:val="21"/>
          <w:szCs w:val="21"/>
          <w:u w:val="single"/>
        </w:rPr>
        <w:t>Works: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•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Encouraging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the production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processing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cassava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as a contribution to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food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sovereignty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fight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against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poverty</w:t>
      </w:r>
      <w:proofErr w:type="spellEnd"/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•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problem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hiring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graduates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higher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education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.</w:t>
      </w:r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92674E" w:rsidRDefault="0092674E" w:rsidP="0092674E">
      <w:pPr>
        <w:numPr>
          <w:ilvl w:val="0"/>
          <w:numId w:val="21"/>
        </w:numPr>
        <w:shd w:val="clear" w:color="auto" w:fill="FFFFFF"/>
        <w:spacing w:after="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Achievements</w:t>
      </w:r>
      <w:proofErr w:type="spellEnd"/>
      <w:r>
        <w:rPr>
          <w:rStyle w:val="lev"/>
          <w:rFonts w:ascii="Tahoma" w:hAnsi="Tahoma" w:cs="Tahoma"/>
          <w:color w:val="211E1F"/>
          <w:sz w:val="21"/>
          <w:szCs w:val="21"/>
        </w:rPr>
        <w:t xml:space="preserve"> of the ESC</w:t>
      </w:r>
    </w:p>
    <w:p w:rsidR="0092674E" w:rsidRDefault="0092674E" w:rsidP="0092674E">
      <w:pPr>
        <w:numPr>
          <w:ilvl w:val="0"/>
          <w:numId w:val="21"/>
        </w:numPr>
        <w:shd w:val="clear" w:color="auto" w:fill="FFFFFF"/>
        <w:spacing w:after="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r>
        <w:rPr>
          <w:rStyle w:val="lev"/>
          <w:rFonts w:ascii="Tahoma" w:hAnsi="Tahoma" w:cs="Tahoma"/>
          <w:color w:val="211E1F"/>
          <w:sz w:val="21"/>
          <w:szCs w:val="21"/>
        </w:rPr>
        <w:t>Main publications/</w:t>
      </w:r>
      <w:proofErr w:type="spellStart"/>
      <w:r>
        <w:rPr>
          <w:rStyle w:val="lev"/>
          <w:rFonts w:ascii="Tahoma" w:hAnsi="Tahoma" w:cs="Tahoma"/>
          <w:color w:val="211E1F"/>
          <w:sz w:val="21"/>
          <w:szCs w:val="21"/>
        </w:rPr>
        <w:t>studies</w:t>
      </w:r>
      <w:proofErr w:type="spellEnd"/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The promotion of the production and the transformation of manioc as contribution to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food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sovereignty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the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fight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against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poverty</w:t>
      </w:r>
      <w:proofErr w:type="spellEnd"/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proofErr w:type="spellStart"/>
      <w:r>
        <w:rPr>
          <w:rFonts w:ascii="Tahoma" w:hAnsi="Tahoma" w:cs="Tahoma"/>
          <w:color w:val="211E1F"/>
          <w:sz w:val="21"/>
          <w:szCs w:val="21"/>
        </w:rPr>
        <w:t>Employment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problem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young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graduates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from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higher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education</w:t>
      </w:r>
      <w:proofErr w:type="spellEnd"/>
    </w:p>
    <w:p w:rsidR="0092674E" w:rsidRDefault="0092674E" w:rsidP="0092674E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92674E" w:rsidRDefault="0092674E" w:rsidP="0092674E">
      <w:pPr>
        <w:numPr>
          <w:ilvl w:val="0"/>
          <w:numId w:val="22"/>
        </w:numPr>
        <w:shd w:val="clear" w:color="auto" w:fill="FFFFFF"/>
        <w:spacing w:after="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r>
        <w:rPr>
          <w:rStyle w:val="lev"/>
          <w:rFonts w:ascii="Tahoma" w:hAnsi="Tahoma" w:cs="Tahoma"/>
          <w:color w:val="211E1F"/>
          <w:sz w:val="21"/>
          <w:szCs w:val="21"/>
        </w:rPr>
        <w:t>Best practices</w:t>
      </w:r>
    </w:p>
    <w:p w:rsidR="0092674E" w:rsidRDefault="0092674E" w:rsidP="0092674E">
      <w:pPr>
        <w:numPr>
          <w:ilvl w:val="0"/>
          <w:numId w:val="23"/>
        </w:numPr>
        <w:shd w:val="clear" w:color="auto" w:fill="FFFFFF"/>
        <w:spacing w:after="0" w:line="312" w:lineRule="atLeast"/>
        <w:ind w:left="30"/>
        <w:rPr>
          <w:rFonts w:ascii="Tahoma" w:hAnsi="Tahoma" w:cs="Tahoma"/>
          <w:color w:val="211E1F"/>
          <w:sz w:val="21"/>
          <w:szCs w:val="21"/>
        </w:rPr>
      </w:pPr>
      <w:r>
        <w:rPr>
          <w:rStyle w:val="lev"/>
          <w:rFonts w:ascii="Tahoma" w:hAnsi="Tahoma" w:cs="Tahoma"/>
          <w:color w:val="211E1F"/>
          <w:sz w:val="21"/>
          <w:szCs w:val="21"/>
        </w:rPr>
        <w:t>Affiliations </w:t>
      </w:r>
      <w:r>
        <w:rPr>
          <w:rFonts w:ascii="Tahoma" w:hAnsi="Tahoma" w:cs="Tahoma"/>
          <w:color w:val="211E1F"/>
          <w:sz w:val="21"/>
          <w:szCs w:val="21"/>
        </w:rPr>
        <w:t>AICESIS – UCESA - UCESIF</w:t>
      </w:r>
    </w:p>
    <w:p w:rsidR="0092674E" w:rsidRDefault="0092674E" w:rsidP="0092674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211E1F"/>
          <w:sz w:val="21"/>
          <w:szCs w:val="21"/>
        </w:rPr>
      </w:pPr>
      <w:hyperlink r:id="rId6" w:history="1">
        <w:r>
          <w:rPr>
            <w:rStyle w:val="Lienhypertexte"/>
            <w:rFonts w:ascii="Tahoma" w:hAnsi="Tahoma" w:cs="Tahoma"/>
            <w:color w:val="1B75BB"/>
            <w:sz w:val="21"/>
            <w:szCs w:val="21"/>
          </w:rPr>
          <w:t>Note on Social Dialogue (July 2015)</w:t>
        </w:r>
      </w:hyperlink>
      <w:r>
        <w:rPr>
          <w:rFonts w:ascii="Tahoma" w:hAnsi="Tahoma" w:cs="Tahoma"/>
          <w:color w:val="211E1F"/>
          <w:sz w:val="21"/>
          <w:szCs w:val="21"/>
        </w:rPr>
        <w:t> (35 Kb) </w:t>
      </w:r>
      <w:hyperlink r:id="rId7" w:history="1">
        <w:r>
          <w:rPr>
            <w:rStyle w:val="Lienhypertexte"/>
            <w:rFonts w:ascii="Tahoma" w:hAnsi="Tahoma" w:cs="Tahoma"/>
            <w:color w:val="1B75BB"/>
            <w:sz w:val="21"/>
            <w:szCs w:val="21"/>
          </w:rPr>
          <w:t>Télécharger</w:t>
        </w:r>
      </w:hyperlink>
    </w:p>
    <w:p w:rsidR="0092674E" w:rsidRDefault="0092674E" w:rsidP="0092674E">
      <w:pPr>
        <w:pStyle w:val="Titre4"/>
        <w:shd w:val="clear" w:color="auto" w:fill="FFFFFF"/>
        <w:spacing w:before="300" w:after="225"/>
        <w:rPr>
          <w:rFonts w:ascii="Tahoma" w:hAnsi="Tahoma" w:cs="Tahoma"/>
          <w:color w:val="252525"/>
          <w:sz w:val="24"/>
          <w:szCs w:val="24"/>
        </w:rPr>
      </w:pPr>
      <w:r>
        <w:rPr>
          <w:rFonts w:ascii="Tahoma" w:hAnsi="Tahoma" w:cs="Tahoma"/>
          <w:color w:val="252525"/>
        </w:rPr>
        <w:t>Contacts</w:t>
      </w:r>
    </w:p>
    <w:p w:rsidR="0092674E" w:rsidRDefault="0092674E" w:rsidP="0092674E">
      <w:pPr>
        <w:pStyle w:val="icophone"/>
        <w:shd w:val="clear" w:color="auto" w:fill="FFFFFF"/>
        <w:spacing w:before="105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(227) 20-72-20-44 / 90-15-36-00</w:t>
      </w:r>
    </w:p>
    <w:p w:rsidR="0092674E" w:rsidRDefault="0092674E" w:rsidP="0092674E">
      <w:pPr>
        <w:pStyle w:val="icofax"/>
        <w:shd w:val="clear" w:color="auto" w:fill="FFFFFF"/>
        <w:spacing w:before="105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(227) 20-72-20-46 </w:t>
      </w:r>
      <w:proofErr w:type="gramStart"/>
      <w:r>
        <w:rPr>
          <w:rFonts w:ascii="Tahoma" w:hAnsi="Tahoma" w:cs="Tahoma"/>
          <w:color w:val="211E1F"/>
          <w:sz w:val="21"/>
          <w:szCs w:val="21"/>
        </w:rPr>
        <w:t>or</w:t>
      </w:r>
      <w:proofErr w:type="gramEnd"/>
      <w:r>
        <w:rPr>
          <w:rFonts w:ascii="Tahoma" w:hAnsi="Tahoma" w:cs="Tahoma"/>
          <w:color w:val="211E1F"/>
          <w:sz w:val="21"/>
          <w:szCs w:val="21"/>
        </w:rPr>
        <w:t xml:space="preserve"> 29</w:t>
      </w:r>
    </w:p>
    <w:p w:rsidR="0092674E" w:rsidRDefault="0092674E" w:rsidP="0092674E">
      <w:pPr>
        <w:pStyle w:val="icoemail"/>
        <w:shd w:val="clear" w:color="auto" w:fill="FFFFFF"/>
        <w:spacing w:before="0" w:beforeAutospacing="0" w:after="0" w:afterAutospacing="0"/>
        <w:rPr>
          <w:rFonts w:ascii="Tahoma" w:hAnsi="Tahoma" w:cs="Tahoma"/>
          <w:color w:val="211E1F"/>
          <w:sz w:val="21"/>
          <w:szCs w:val="21"/>
        </w:rPr>
      </w:pPr>
      <w:hyperlink r:id="rId8" w:history="1">
        <w:r>
          <w:rPr>
            <w:rStyle w:val="Lienhypertexte"/>
            <w:rFonts w:ascii="Tahoma" w:hAnsi="Tahoma" w:cs="Tahoma"/>
            <w:color w:val="1B75BB"/>
            <w:sz w:val="21"/>
            <w:szCs w:val="21"/>
          </w:rPr>
          <w:t>cesoc.org@yahoo.com</w:t>
        </w:r>
      </w:hyperlink>
    </w:p>
    <w:p w:rsidR="0092674E" w:rsidRDefault="0092674E" w:rsidP="0092674E">
      <w:pPr>
        <w:pStyle w:val="fz14"/>
        <w:shd w:val="clear" w:color="auto" w:fill="FFFFFF"/>
        <w:spacing w:before="0" w:beforeAutospacing="0" w:after="0" w:afterAutospacing="0"/>
        <w:rPr>
          <w:rFonts w:ascii="Tahoma" w:hAnsi="Tahoma" w:cs="Tahoma"/>
          <w:color w:val="211E1F"/>
          <w:sz w:val="21"/>
          <w:szCs w:val="21"/>
        </w:rPr>
      </w:pPr>
      <w:hyperlink r:id="rId9" w:tgtFrame="_blank" w:history="1">
        <w:r>
          <w:rPr>
            <w:rStyle w:val="Lienhypertexte"/>
            <w:rFonts w:ascii="Tahoma" w:hAnsi="Tahoma" w:cs="Tahoma"/>
            <w:color w:val="1B75BB"/>
            <w:sz w:val="21"/>
            <w:szCs w:val="21"/>
          </w:rPr>
          <w:t>www.cesoc.net</w:t>
        </w:r>
      </w:hyperlink>
    </w:p>
    <w:p w:rsidR="0092674E" w:rsidRDefault="0092674E" w:rsidP="0092674E">
      <w:pPr>
        <w:pStyle w:val="icoaddress"/>
        <w:shd w:val="clear" w:color="auto" w:fill="FFFFFF"/>
        <w:spacing w:before="105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BP 2805 – NIAMEY (NIGER)</w:t>
      </w:r>
    </w:p>
    <w:p w:rsidR="00CB4F63" w:rsidRPr="0092674E" w:rsidRDefault="0092674E" w:rsidP="0092674E">
      <w:bookmarkStart w:id="0" w:name="_GoBack"/>
      <w:bookmarkEnd w:id="0"/>
    </w:p>
    <w:sectPr w:rsidR="00CB4F63" w:rsidRPr="0092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C22"/>
    <w:multiLevelType w:val="multilevel"/>
    <w:tmpl w:val="D5C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B141E"/>
    <w:multiLevelType w:val="multilevel"/>
    <w:tmpl w:val="DF22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E27BE"/>
    <w:multiLevelType w:val="multilevel"/>
    <w:tmpl w:val="BDB2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33EF3"/>
    <w:multiLevelType w:val="multilevel"/>
    <w:tmpl w:val="725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23415"/>
    <w:multiLevelType w:val="multilevel"/>
    <w:tmpl w:val="84BA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64B59"/>
    <w:multiLevelType w:val="multilevel"/>
    <w:tmpl w:val="D1A6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52121"/>
    <w:multiLevelType w:val="multilevel"/>
    <w:tmpl w:val="5454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213DB"/>
    <w:multiLevelType w:val="multilevel"/>
    <w:tmpl w:val="C39E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E7818"/>
    <w:multiLevelType w:val="multilevel"/>
    <w:tmpl w:val="2672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431E28"/>
    <w:multiLevelType w:val="multilevel"/>
    <w:tmpl w:val="4C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438C8"/>
    <w:multiLevelType w:val="multilevel"/>
    <w:tmpl w:val="2540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F31C6"/>
    <w:multiLevelType w:val="multilevel"/>
    <w:tmpl w:val="46AE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6208C"/>
    <w:multiLevelType w:val="multilevel"/>
    <w:tmpl w:val="BA94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6C64DC"/>
    <w:multiLevelType w:val="multilevel"/>
    <w:tmpl w:val="12F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43CFA"/>
    <w:multiLevelType w:val="multilevel"/>
    <w:tmpl w:val="0408E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5E454C4"/>
    <w:multiLevelType w:val="multilevel"/>
    <w:tmpl w:val="3564C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F6905CF"/>
    <w:multiLevelType w:val="multilevel"/>
    <w:tmpl w:val="067E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B56BA"/>
    <w:multiLevelType w:val="multilevel"/>
    <w:tmpl w:val="B4F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83FA9"/>
    <w:multiLevelType w:val="multilevel"/>
    <w:tmpl w:val="11C4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30B8A"/>
    <w:multiLevelType w:val="multilevel"/>
    <w:tmpl w:val="A8EC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AC2AAB"/>
    <w:multiLevelType w:val="multilevel"/>
    <w:tmpl w:val="285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BD4253"/>
    <w:multiLevelType w:val="multilevel"/>
    <w:tmpl w:val="77F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2"/>
    </w:lvlOverride>
  </w:num>
  <w:num w:numId="2">
    <w:abstractNumId w:val="18"/>
    <w:lvlOverride w:ilvl="0">
      <w:startOverride w:val="3"/>
    </w:lvlOverride>
  </w:num>
  <w:num w:numId="3">
    <w:abstractNumId w:val="21"/>
  </w:num>
  <w:num w:numId="4">
    <w:abstractNumId w:val="15"/>
  </w:num>
  <w:num w:numId="5">
    <w:abstractNumId w:val="8"/>
  </w:num>
  <w:num w:numId="6">
    <w:abstractNumId w:val="7"/>
  </w:num>
  <w:num w:numId="7">
    <w:abstractNumId w:val="2"/>
    <w:lvlOverride w:ilvl="0">
      <w:startOverride w:val="4"/>
    </w:lvlOverride>
  </w:num>
  <w:num w:numId="8">
    <w:abstractNumId w:val="6"/>
    <w:lvlOverride w:ilvl="0">
      <w:startOverride w:val="6"/>
    </w:lvlOverride>
  </w:num>
  <w:num w:numId="9">
    <w:abstractNumId w:val="5"/>
    <w:lvlOverride w:ilvl="0">
      <w:startOverride w:val="7"/>
    </w:lvlOverride>
  </w:num>
  <w:num w:numId="10">
    <w:abstractNumId w:val="19"/>
  </w:num>
  <w:num w:numId="11">
    <w:abstractNumId w:val="19"/>
    <w:lvlOverride w:ilvl="0">
      <w:startOverride w:val="8"/>
    </w:lvlOverride>
  </w:num>
  <w:num w:numId="12">
    <w:abstractNumId w:val="0"/>
  </w:num>
  <w:num w:numId="13">
    <w:abstractNumId w:val="17"/>
    <w:lvlOverride w:ilvl="0">
      <w:startOverride w:val="2"/>
    </w:lvlOverride>
  </w:num>
  <w:num w:numId="14">
    <w:abstractNumId w:val="16"/>
    <w:lvlOverride w:ilvl="0">
      <w:startOverride w:val="3"/>
    </w:lvlOverride>
  </w:num>
  <w:num w:numId="15">
    <w:abstractNumId w:val="12"/>
  </w:num>
  <w:num w:numId="16">
    <w:abstractNumId w:val="14"/>
  </w:num>
  <w:num w:numId="17">
    <w:abstractNumId w:val="3"/>
  </w:num>
  <w:num w:numId="18">
    <w:abstractNumId w:val="13"/>
  </w:num>
  <w:num w:numId="19">
    <w:abstractNumId w:val="9"/>
    <w:lvlOverride w:ilvl="0">
      <w:startOverride w:val="4"/>
    </w:lvlOverride>
  </w:num>
  <w:num w:numId="20">
    <w:abstractNumId w:val="1"/>
    <w:lvlOverride w:ilvl="0">
      <w:startOverride w:val="6"/>
    </w:lvlOverride>
  </w:num>
  <w:num w:numId="21">
    <w:abstractNumId w:val="4"/>
    <w:lvlOverride w:ilvl="0">
      <w:startOverride w:val="7"/>
    </w:lvlOverride>
  </w:num>
  <w:num w:numId="22">
    <w:abstractNumId w:val="20"/>
  </w:num>
  <w:num w:numId="23">
    <w:abstractNumId w:val="20"/>
    <w:lvlOverride w:ilvl="0">
      <w:startOverride w:val="8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24"/>
    <w:rsid w:val="00374024"/>
    <w:rsid w:val="00570244"/>
    <w:rsid w:val="0092674E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CF02-1A69-41FD-B062-2A7986A8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26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6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674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2674E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9267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2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92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92674E"/>
  </w:style>
  <w:style w:type="character" w:styleId="lev">
    <w:name w:val="Strong"/>
    <w:basedOn w:val="Policepardfaut"/>
    <w:uiPriority w:val="22"/>
    <w:qFormat/>
    <w:rsid w:val="0092674E"/>
    <w:rPr>
      <w:b/>
      <w:bCs/>
    </w:rPr>
  </w:style>
  <w:style w:type="paragraph" w:customStyle="1" w:styleId="icophone">
    <w:name w:val="ico_phone"/>
    <w:basedOn w:val="Normal"/>
    <w:rsid w:val="0092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92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92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92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92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17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55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29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639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31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734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630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644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oc.org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75/150709_Dialogue_Sociale_au_Nige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esis.org/files/organizations/75/150709_Dialogue_Sociale_au_Niger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soc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2019-09-04T14:45:00Z</dcterms:created>
  <dcterms:modified xsi:type="dcterms:W3CDTF">2019-09-04T14:46:00Z</dcterms:modified>
</cp:coreProperties>
</file>